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0349" w:type="dxa"/>
        <w:tblInd w:w="-176" w:type="dxa"/>
        <w:shd w:val="pct12" w:color="auto" w:fill="auto"/>
        <w:tblLook w:val="04A0"/>
      </w:tblPr>
      <w:tblGrid>
        <w:gridCol w:w="10349"/>
      </w:tblGrid>
      <w:tr w:rsidR="00A7601E" w:rsidTr="00DA1CF1">
        <w:tc>
          <w:tcPr>
            <w:tcW w:w="10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D86215" w:rsidRPr="007E139E" w:rsidRDefault="00C14FCC" w:rsidP="00D86215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</w:pPr>
            <w:r w:rsidRPr="00C14FCC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إ</w:t>
            </w:r>
            <w:r w:rsidR="00D86215" w:rsidRPr="00C14FCC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خ</w:t>
            </w:r>
            <w:r w:rsidR="00D86215" w:rsidRPr="007E139E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تصاص ال</w:t>
            </w:r>
            <w:r w:rsidR="00D86215" w:rsidRPr="007E139E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عناية التمريضية</w:t>
            </w:r>
          </w:p>
          <w:p w:rsidR="00A7601E" w:rsidRPr="007E139E" w:rsidRDefault="00A7601E" w:rsidP="00D86215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7E139E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البكالوريا الفنية – سنة ثا</w:t>
            </w:r>
            <w:r w:rsidR="00D86215" w:rsidRPr="007E139E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لث</w:t>
            </w:r>
            <w:r w:rsidRPr="007E139E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 xml:space="preserve">ة - </w:t>
            </w:r>
          </w:p>
          <w:p w:rsidR="00A7601E" w:rsidRPr="00D86215" w:rsidRDefault="00A7601E" w:rsidP="00D86215">
            <w:pPr>
              <w:tabs>
                <w:tab w:val="left" w:pos="566"/>
              </w:tabs>
              <w:ind w:left="-284" w:right="-284" w:hanging="10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7E139E">
              <w:rPr>
                <w:rFonts w:ascii="Arial" w:hAnsi="Arial" w:cs="Arial"/>
                <w:b/>
                <w:bCs/>
                <w:sz w:val="32"/>
                <w:szCs w:val="32"/>
                <w:u w:val="single"/>
                <w:rtl/>
              </w:rPr>
              <w:t>مادة ال</w:t>
            </w:r>
            <w:r w:rsidR="00D86215" w:rsidRPr="007E139E">
              <w:rPr>
                <w:rFonts w:ascii="Arial" w:hAnsi="Arial" w:cs="Arial" w:hint="cs"/>
                <w:b/>
                <w:bCs/>
                <w:sz w:val="32"/>
                <w:szCs w:val="32"/>
                <w:u w:val="single"/>
                <w:rtl/>
              </w:rPr>
              <w:t>تشريع الطبي والاجتماعي</w:t>
            </w:r>
          </w:p>
        </w:tc>
      </w:tr>
    </w:tbl>
    <w:p w:rsidR="00B54FE2" w:rsidRPr="00B54FE2" w:rsidRDefault="00B54FE2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 w:rsidRPr="00B54FE2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القسم الأول</w:t>
      </w:r>
    </w:p>
    <w:p w:rsidR="00B54FE2" w:rsidRPr="00B54FE2" w:rsidRDefault="00B54FE2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 w:rsidRPr="00B54FE2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قانون العمل </w:t>
      </w:r>
    </w:p>
    <w:p w:rsidR="00B54FE2" w:rsidRPr="00B54FE2" w:rsidRDefault="00B54FE2" w:rsidP="00B54FE2">
      <w:pPr>
        <w:ind w:left="29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اولاً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قانون العمل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1-1</w:t>
      </w:r>
      <w:r>
        <w:rPr>
          <w:rFonts w:asciiTheme="minorBidi" w:hAnsiTheme="minorBidi" w:cstheme="minorBidi" w:hint="cs"/>
          <w:b/>
          <w:bCs/>
          <w:sz w:val="24"/>
          <w:szCs w:val="24"/>
          <w:rtl/>
        </w:rPr>
        <w:t>: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  <w:r w:rsidRPr="00B54FE2">
        <w:rPr>
          <w:rFonts w:asciiTheme="minorBidi" w:hAnsiTheme="minorBidi" w:cstheme="minorBidi"/>
          <w:sz w:val="24"/>
          <w:szCs w:val="24"/>
          <w:rtl/>
        </w:rPr>
        <w:t>تعريفه.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1-2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:</w:t>
      </w:r>
      <w:r w:rsidRPr="00B54FE2">
        <w:rPr>
          <w:rFonts w:asciiTheme="minorBidi" w:hAnsiTheme="minorBidi" w:cstheme="minorBidi"/>
          <w:sz w:val="24"/>
          <w:szCs w:val="24"/>
          <w:rtl/>
        </w:rPr>
        <w:t xml:space="preserve"> نطاق تطبيقه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1-2-1: الأجراء والمؤسسات الخاضعة لأحكامه.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1-2-2: الأجراء غير الخاضعين لأحكامه.</w:t>
      </w:r>
    </w:p>
    <w:p w:rsidR="00B54FE2" w:rsidRPr="00B54FE2" w:rsidRDefault="00B54FE2" w:rsidP="00B54FE2">
      <w:pPr>
        <w:ind w:left="29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ثانياً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علاقات العمل الفردية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2-1: عقد العمل الفردي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2-1-1: تعريفه.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2-1-3: أنواعه (محدد المدة – غير محدد المدة)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2-2: عناصر عقد العمل الفردي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2-2-1: عنصر العمل.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2-2-2: عنصر الأجر.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2-2-3: عنصر التبعية.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2-3</w:t>
      </w:r>
      <w:r w:rsidRPr="00B54FE2">
        <w:rPr>
          <w:rFonts w:asciiTheme="minorBidi" w:hAnsiTheme="minorBidi" w:cstheme="minorBidi"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أطرافه</w:t>
      </w:r>
      <w:r w:rsidRPr="00B54FE2">
        <w:rPr>
          <w:rFonts w:asciiTheme="minorBidi" w:hAnsiTheme="minorBidi" w:cstheme="minorBidi"/>
          <w:sz w:val="24"/>
          <w:szCs w:val="24"/>
          <w:rtl/>
        </w:rPr>
        <w:t xml:space="preserve"> (صاحب العمل – الأجير).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2-2-1: موجبات أطرافه (موجبات الأجير – موجبات صاحب العمل).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2-2-4: الفرق بين عقد العمل المحدد المدة وعقد العمل غير المحدد المدة.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2-3: الأجر: </w:t>
      </w:r>
      <w:r w:rsidRPr="00B54FE2">
        <w:rPr>
          <w:rFonts w:asciiTheme="minorBidi" w:hAnsiTheme="minorBidi" w:cstheme="minorBidi"/>
          <w:sz w:val="24"/>
          <w:szCs w:val="24"/>
          <w:rtl/>
        </w:rPr>
        <w:t>تعريفه – أنواعه – ملحقاته – طرق حمايته.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2-4: مدة العمل والإجازات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2-4-1: مدة العمل: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2-4-1-1: الحد الأقصى للعمل الأسبوعي.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2-4-1-2: شروط تشغيل الأجراء ساعات إضافية.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2-4-1-3: الراحة اليومية والراحة الأسبوعية.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2-4-2: الاجازات: </w:t>
      </w:r>
    </w:p>
    <w:p w:rsidR="00B54FE2" w:rsidRPr="00B54FE2" w:rsidRDefault="00B54FE2" w:rsidP="00B54FE2">
      <w:pPr>
        <w:ind w:firstLine="720"/>
        <w:rPr>
          <w:rFonts w:asciiTheme="minorBidi" w:hAnsiTheme="minorBidi" w:cstheme="minorBidi"/>
          <w:noProof w:val="0"/>
          <w:sz w:val="24"/>
          <w:szCs w:val="24"/>
          <w:rtl/>
        </w:rPr>
      </w:pPr>
      <w:r w:rsidRPr="00B54FE2">
        <w:rPr>
          <w:rFonts w:asciiTheme="minorBidi" w:hAnsiTheme="minorBidi" w:cstheme="minorBidi"/>
          <w:noProof w:val="0"/>
          <w:sz w:val="24"/>
          <w:szCs w:val="24"/>
          <w:rtl/>
        </w:rPr>
        <w:t>2-4-2-1- إجازة الوفاة: تعريفها - مدتها.</w:t>
      </w:r>
    </w:p>
    <w:p w:rsidR="00B54FE2" w:rsidRPr="00B54FE2" w:rsidRDefault="00B54FE2" w:rsidP="009D799B">
      <w:pPr>
        <w:ind w:left="720"/>
        <w:rPr>
          <w:rFonts w:asciiTheme="minorBidi" w:hAnsiTheme="minorBidi" w:cstheme="minorBidi"/>
          <w:noProof w:val="0"/>
          <w:sz w:val="24"/>
          <w:szCs w:val="24"/>
          <w:rtl/>
        </w:rPr>
      </w:pPr>
      <w:r w:rsidRPr="00B54FE2">
        <w:rPr>
          <w:rFonts w:asciiTheme="minorBidi" w:hAnsiTheme="minorBidi" w:cstheme="minorBidi"/>
          <w:noProof w:val="0"/>
          <w:sz w:val="24"/>
          <w:szCs w:val="24"/>
          <w:rtl/>
        </w:rPr>
        <w:t>2-4-2-2- إجازة الأمومة: تعريفها – مدتها.</w:t>
      </w:r>
    </w:p>
    <w:p w:rsidR="00B54FE2" w:rsidRPr="00B54FE2" w:rsidRDefault="00B54FE2" w:rsidP="009D799B">
      <w:pPr>
        <w:ind w:left="720"/>
        <w:rPr>
          <w:rFonts w:asciiTheme="minorBidi" w:hAnsiTheme="minorBidi" w:cstheme="minorBidi"/>
          <w:noProof w:val="0"/>
          <w:sz w:val="24"/>
          <w:szCs w:val="24"/>
          <w:rtl/>
        </w:rPr>
      </w:pPr>
      <w:r w:rsidRPr="00B54FE2">
        <w:rPr>
          <w:rFonts w:asciiTheme="minorBidi" w:hAnsiTheme="minorBidi" w:cstheme="minorBidi"/>
          <w:noProof w:val="0"/>
          <w:sz w:val="24"/>
          <w:szCs w:val="24"/>
          <w:rtl/>
        </w:rPr>
        <w:t>2-4-2-3- الإجازة السنوية: تعريفها- مدتها.</w:t>
      </w:r>
    </w:p>
    <w:p w:rsidR="00B54FE2" w:rsidRPr="00B54FE2" w:rsidRDefault="00B54FE2" w:rsidP="009D799B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noProof w:val="0"/>
          <w:sz w:val="24"/>
          <w:szCs w:val="24"/>
          <w:rtl/>
        </w:rPr>
        <w:t>2-4-2-4- الإجازة المرضية: تعريفها- مدتها.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2-5: إنقضاء عقد العمل الفردي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2-5-1: الاسباب العامة لجميع عقود العمل المحددة وغير المحددة المدّة.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2-5-2: الاسباب الخاصة بعقود العمل المحددة المدّة.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2-5-3: الاسباب الخاصة بعقود العمل غير المحددة المدّة.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2-5-4: الحالات التي يحق فيها لصاحب العمل فسخ العقد دون تعويض ودون إنذار.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2-5-5: الحالات التي يحق فيها للأجير فسخ العقد دون إنذار مع بقاء حقه بالتعويض.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2-6: حل خلافات العمل الفردية: مجالس العمل التحكيمية</w:t>
      </w:r>
    </w:p>
    <w:p w:rsidR="00B54FE2" w:rsidRPr="00B54FE2" w:rsidRDefault="00B54FE2" w:rsidP="005045D6">
      <w:pPr>
        <w:ind w:left="74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تعريفها</w:t>
      </w:r>
      <w:r w:rsidR="005045D6">
        <w:rPr>
          <w:rFonts w:asciiTheme="minorBidi" w:hAnsiTheme="minorBidi" w:cstheme="minorBidi" w:hint="cs"/>
          <w:sz w:val="24"/>
          <w:szCs w:val="24"/>
          <w:rtl/>
        </w:rPr>
        <w:t xml:space="preserve">- </w:t>
      </w:r>
      <w:r w:rsidRPr="00B54FE2">
        <w:rPr>
          <w:rFonts w:asciiTheme="minorBidi" w:hAnsiTheme="minorBidi" w:cstheme="minorBidi"/>
          <w:sz w:val="24"/>
          <w:szCs w:val="24"/>
          <w:rtl/>
        </w:rPr>
        <w:t xml:space="preserve"> تشكيلها</w:t>
      </w:r>
      <w:r w:rsidR="005045D6">
        <w:rPr>
          <w:rFonts w:asciiTheme="minorBidi" w:hAnsiTheme="minorBidi" w:cstheme="minorBidi" w:hint="cs"/>
          <w:sz w:val="24"/>
          <w:szCs w:val="24"/>
          <w:rtl/>
        </w:rPr>
        <w:t xml:space="preserve"> - </w:t>
      </w:r>
      <w:r w:rsidRPr="00B54FE2">
        <w:rPr>
          <w:rFonts w:asciiTheme="minorBidi" w:hAnsiTheme="minorBidi" w:cstheme="minorBidi"/>
          <w:sz w:val="24"/>
          <w:szCs w:val="24"/>
          <w:rtl/>
        </w:rPr>
        <w:t>إختصاصاتها.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2-7: حل خلافات العمل الجماعية</w:t>
      </w:r>
    </w:p>
    <w:p w:rsidR="00B54FE2" w:rsidRPr="00B54FE2" w:rsidRDefault="00B54FE2" w:rsidP="005045D6">
      <w:pPr>
        <w:ind w:left="74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الفرق بين الوساطة والتحكيم</w:t>
      </w:r>
    </w:p>
    <w:p w:rsidR="00B54FE2" w:rsidRPr="00B54FE2" w:rsidRDefault="00B54FE2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 w:rsidRPr="00B54FE2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القسم الثاني </w:t>
      </w:r>
    </w:p>
    <w:p w:rsidR="00B54FE2" w:rsidRDefault="00B54FE2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</w:rPr>
      </w:pPr>
      <w:r w:rsidRPr="00B54FE2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قانون الضمان الإجتماعي </w:t>
      </w:r>
    </w:p>
    <w:p w:rsidR="005045D6" w:rsidRDefault="005045D6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</w:rPr>
      </w:pPr>
    </w:p>
    <w:p w:rsidR="005045D6" w:rsidRDefault="005045D6" w:rsidP="005045D6">
      <w:pPr>
        <w:rPr>
          <w:rFonts w:asciiTheme="minorBidi" w:hAnsiTheme="minorBidi" w:cstheme="minorBidi"/>
          <w:b/>
          <w:bCs/>
          <w:sz w:val="32"/>
          <w:szCs w:val="32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>القسم الثاني: قانون الضمان الإجتماعي</w:t>
      </w:r>
      <w:r>
        <w:rPr>
          <w:rFonts w:asciiTheme="minorBidi" w:hAnsiTheme="minorBidi" w:cstheme="minorBidi"/>
          <w:b/>
          <w:bCs/>
          <w:sz w:val="32"/>
          <w:szCs w:val="32"/>
          <w:rtl/>
        </w:rPr>
        <w:t xml:space="preserve">: </w:t>
      </w:r>
    </w:p>
    <w:p w:rsidR="005045D6" w:rsidRPr="005045D6" w:rsidRDefault="005045D6" w:rsidP="005045D6">
      <w:pPr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5045D6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أولاً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ab/>
      </w:r>
      <w:r w:rsidRPr="005045D6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الصندوق الوطني للضمان الإجتماعي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</w:p>
    <w:p w:rsidR="005045D6" w:rsidRPr="005045D6" w:rsidRDefault="005045D6" w:rsidP="005045D6">
      <w:pPr>
        <w:ind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sz w:val="24"/>
          <w:szCs w:val="24"/>
          <w:rtl/>
        </w:rPr>
        <w:t>1-1- تعريفه.</w:t>
      </w:r>
    </w:p>
    <w:p w:rsidR="005045D6" w:rsidRPr="005045D6" w:rsidRDefault="005045D6" w:rsidP="005045D6">
      <w:pPr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5045D6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ثانياً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ab/>
      </w:r>
      <w:r w:rsidRPr="005045D6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فروع الصندوق الوطني للضمان الإجتماعي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 xml:space="preserve"> </w:t>
      </w:r>
    </w:p>
    <w:p w:rsidR="005045D6" w:rsidRPr="005045D6" w:rsidRDefault="005045D6" w:rsidP="005045D6">
      <w:pPr>
        <w:ind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>2-1-</w:t>
      </w:r>
      <w:r w:rsidRPr="005045D6">
        <w:rPr>
          <w:rFonts w:asciiTheme="minorBidi" w:hAnsiTheme="minorBidi" w:cstheme="minorBidi"/>
          <w:sz w:val="24"/>
          <w:szCs w:val="24"/>
          <w:rtl/>
        </w:rPr>
        <w:t xml:space="preserve"> </w:t>
      </w: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>فرع ضمان المرض والأمومة:</w:t>
      </w:r>
      <w:r w:rsidRPr="005045D6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5045D6" w:rsidRPr="005045D6" w:rsidRDefault="005045D6" w:rsidP="005045D6">
      <w:pPr>
        <w:ind w:left="720"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sz w:val="24"/>
          <w:szCs w:val="24"/>
          <w:rtl/>
        </w:rPr>
        <w:t>تعريفه - الحالات التي يشملها - الأشخاص الذين يشملهم -  تقديماته</w:t>
      </w:r>
    </w:p>
    <w:p w:rsidR="005045D6" w:rsidRPr="005045D6" w:rsidRDefault="005045D6" w:rsidP="005045D6">
      <w:pPr>
        <w:ind w:firstLine="720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 xml:space="preserve">2-2- فرع طوارئ العمل والأمراض المهنية: </w:t>
      </w:r>
    </w:p>
    <w:p w:rsidR="005045D6" w:rsidRPr="005045D6" w:rsidRDefault="005045D6" w:rsidP="005045D6">
      <w:pPr>
        <w:ind w:left="720"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sz w:val="24"/>
          <w:szCs w:val="24"/>
          <w:rtl/>
        </w:rPr>
        <w:lastRenderedPageBreak/>
        <w:t>تعريفه - حالات طوارئ العمل.</w:t>
      </w:r>
    </w:p>
    <w:p w:rsidR="005045D6" w:rsidRPr="005045D6" w:rsidRDefault="005045D6" w:rsidP="005045D6">
      <w:pPr>
        <w:ind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>2-3- فرع نظام التقديمات العائلية والتعليمية:</w:t>
      </w:r>
      <w:r w:rsidRPr="005045D6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5045D6" w:rsidRPr="005045D6" w:rsidRDefault="005045D6" w:rsidP="005045D6">
      <w:pPr>
        <w:ind w:left="144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sz w:val="24"/>
          <w:szCs w:val="24"/>
          <w:rtl/>
        </w:rPr>
        <w:t>تعريف التعويض العائلي.- الأشخاص المستفيدون من التقديمات (التعويضات) - قيمة التعويضات وطريقة دفعها.</w:t>
      </w:r>
    </w:p>
    <w:p w:rsidR="005045D6" w:rsidRPr="005045D6" w:rsidRDefault="005045D6" w:rsidP="005045D6">
      <w:pPr>
        <w:ind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b/>
          <w:bCs/>
          <w:sz w:val="24"/>
          <w:szCs w:val="24"/>
          <w:rtl/>
        </w:rPr>
        <w:t>2-4- فرع تعويض نهاية الخدمة:</w:t>
      </w:r>
      <w:r w:rsidRPr="005045D6">
        <w:rPr>
          <w:rFonts w:asciiTheme="minorBidi" w:hAnsiTheme="minorBidi" w:cstheme="minorBidi"/>
          <w:sz w:val="24"/>
          <w:szCs w:val="24"/>
          <w:rtl/>
        </w:rPr>
        <w:t xml:space="preserve"> </w:t>
      </w:r>
    </w:p>
    <w:p w:rsidR="005045D6" w:rsidRPr="005045D6" w:rsidRDefault="005045D6" w:rsidP="005045D6">
      <w:pPr>
        <w:ind w:left="720" w:firstLine="720"/>
        <w:rPr>
          <w:rFonts w:asciiTheme="minorBidi" w:hAnsiTheme="minorBidi" w:cstheme="minorBidi"/>
          <w:sz w:val="24"/>
          <w:szCs w:val="24"/>
          <w:rtl/>
        </w:rPr>
      </w:pPr>
      <w:r w:rsidRPr="005045D6">
        <w:rPr>
          <w:rFonts w:asciiTheme="minorBidi" w:hAnsiTheme="minorBidi" w:cstheme="minorBidi"/>
          <w:sz w:val="24"/>
          <w:szCs w:val="24"/>
          <w:rtl/>
        </w:rPr>
        <w:t>تعريفه - حالات إستحقاقه: التعويض الكامل – التعويض المخفض – التعويض الإضافي.</w:t>
      </w:r>
    </w:p>
    <w:p w:rsidR="005045D6" w:rsidRPr="00B54FE2" w:rsidRDefault="005045D6" w:rsidP="00B54FE2">
      <w:pPr>
        <w:ind w:left="29"/>
        <w:jc w:val="center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</w:p>
    <w:p w:rsidR="00B54FE2" w:rsidRPr="00B54FE2" w:rsidRDefault="00B54FE2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 w:rsidRPr="00B54FE2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القسم الثالث </w:t>
      </w:r>
    </w:p>
    <w:p w:rsidR="00B54FE2" w:rsidRPr="00B54FE2" w:rsidRDefault="00B54FE2" w:rsidP="00B54FE2">
      <w:pPr>
        <w:ind w:left="29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</w:pPr>
      <w:r w:rsidRPr="00B54FE2">
        <w:rPr>
          <w:rFonts w:asciiTheme="minorBidi" w:hAnsiTheme="minorBidi" w:cstheme="minorBidi"/>
          <w:b/>
          <w:bCs/>
          <w:sz w:val="32"/>
          <w:szCs w:val="32"/>
          <w:u w:val="single"/>
          <w:rtl/>
        </w:rPr>
        <w:t xml:space="preserve">التمريض </w:t>
      </w:r>
    </w:p>
    <w:p w:rsidR="00B54FE2" w:rsidRPr="00B54FE2" w:rsidRDefault="00B54FE2" w:rsidP="00B54FE2">
      <w:pPr>
        <w:ind w:left="29"/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أولاً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الممرض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 xml:space="preserve">1-1: تعريفه.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1-2: مهمته.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1-3: شروط مزاولته المهنة.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1-4: شروط إكتسابه لقب ممرض مجاز.</w:t>
      </w:r>
    </w:p>
    <w:p w:rsidR="00B54FE2" w:rsidRPr="00B54FE2" w:rsidRDefault="00B54FE2" w:rsidP="00B54FE2">
      <w:pPr>
        <w:ind w:left="29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ثانياً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الممرض المساعد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2-1: تعريفه.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 xml:space="preserve">2-2: مهمته.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2-3: شروط مزاولته المهنة.</w:t>
      </w:r>
    </w:p>
    <w:p w:rsidR="00B54FE2" w:rsidRPr="00B54FE2" w:rsidRDefault="00B54FE2" w:rsidP="00B54FE2">
      <w:pPr>
        <w:ind w:left="29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ثالثاً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الممرض المجُاز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3-1: تعريفه.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3-2: مهامه.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3-3: شروط مزاولته المهنة.</w:t>
      </w:r>
    </w:p>
    <w:p w:rsidR="00B54FE2" w:rsidRPr="00B54FE2" w:rsidRDefault="00B54FE2" w:rsidP="00B54FE2">
      <w:pPr>
        <w:ind w:left="29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رابعاً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الممرض غير اللبناني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</w:p>
    <w:p w:rsidR="00B54FE2" w:rsidRPr="00B54FE2" w:rsidRDefault="00B54FE2" w:rsidP="00B54FE2">
      <w:pPr>
        <w:ind w:left="29" w:firstLine="691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4-1: شروط مزاولته مهنة التمريض في لبنان.</w:t>
      </w:r>
      <w:r w:rsidRPr="00B54FE2">
        <w:rPr>
          <w:rFonts w:asciiTheme="minorBidi" w:hAnsiTheme="minorBidi" w:cstheme="minorBidi"/>
          <w:sz w:val="24"/>
          <w:szCs w:val="24"/>
          <w:rtl/>
        </w:rPr>
        <w:tab/>
        <w:t xml:space="preserve"> 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 xml:space="preserve">4-2: شروط ممارسة التدريب في حقل التمريض. </w:t>
      </w:r>
    </w:p>
    <w:p w:rsidR="00B54FE2" w:rsidRPr="00B54FE2" w:rsidRDefault="00B54FE2" w:rsidP="00B54FE2">
      <w:pPr>
        <w:ind w:left="29"/>
        <w:jc w:val="both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خامساً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نقابة الممرضات والممرضين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>: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b/>
          <w:bCs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5-1: تعريفها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ab/>
      </w:r>
    </w:p>
    <w:p w:rsidR="00B54FE2" w:rsidRPr="00B54FE2" w:rsidRDefault="00B54FE2" w:rsidP="00B54FE2">
      <w:pPr>
        <w:ind w:left="29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سادساً</w:t>
      </w:r>
      <w:r w:rsidRPr="00B54FE2">
        <w:rPr>
          <w:rFonts w:asciiTheme="minorBidi" w:hAnsiTheme="minorBidi" w:cstheme="minorBidi"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 xml:space="preserve">المفهوم القانوني للمسؤولية </w:t>
      </w:r>
    </w:p>
    <w:p w:rsid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 xml:space="preserve">6-1: واجبات الممرض تجاه المرضى والمؤسسة ومتى تترتب عليه المسؤولية الجزائية او المدنية (التعاقدية والتقصيرية) او 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>
        <w:rPr>
          <w:rFonts w:asciiTheme="minorBidi" w:hAnsiTheme="minorBidi" w:cstheme="minorBidi" w:hint="cs"/>
          <w:sz w:val="24"/>
          <w:szCs w:val="24"/>
          <w:rtl/>
        </w:rPr>
        <w:t xml:space="preserve">      </w:t>
      </w:r>
      <w:r w:rsidRPr="00B54FE2">
        <w:rPr>
          <w:rFonts w:asciiTheme="minorBidi" w:hAnsiTheme="minorBidi" w:cstheme="minorBidi"/>
          <w:sz w:val="24"/>
          <w:szCs w:val="24"/>
          <w:rtl/>
        </w:rPr>
        <w:t>المهنية والمسلكية.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u w:val="single"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6-2: مسؤولية الممرّض المجاز عن أعمال الممرض والممرض المساعد.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 xml:space="preserve">6-3: المسؤولية الجزائية للممرض (اهمال وقلة احتراز). 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6-4: حالات المنع من ممارسة المهنة.</w:t>
      </w:r>
    </w:p>
    <w:p w:rsidR="00B54FE2" w:rsidRPr="00B54FE2" w:rsidRDefault="00B54FE2" w:rsidP="00B54FE2">
      <w:pPr>
        <w:ind w:left="29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سابعاً</w:t>
      </w:r>
      <w:r w:rsidRPr="00B54FE2">
        <w:rPr>
          <w:rFonts w:asciiTheme="minorBidi" w:hAnsiTheme="minorBidi" w:cstheme="minorBidi"/>
          <w:b/>
          <w:bCs/>
          <w:sz w:val="24"/>
          <w:szCs w:val="24"/>
          <w:rtl/>
        </w:rPr>
        <w:t xml:space="preserve">: </w:t>
      </w:r>
      <w:r w:rsidRPr="00B54FE2">
        <w:rPr>
          <w:rFonts w:asciiTheme="minorBidi" w:hAnsiTheme="minorBidi" w:cstheme="minorBidi"/>
          <w:b/>
          <w:bCs/>
          <w:sz w:val="24"/>
          <w:szCs w:val="24"/>
          <w:u w:val="single"/>
          <w:rtl/>
        </w:rPr>
        <w:t>السر المهني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7-1: تعريفه.</w:t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>7-2: عقوبة إفشائه.</w:t>
      </w:r>
      <w:r w:rsidRPr="00B54FE2">
        <w:rPr>
          <w:rFonts w:asciiTheme="minorBidi" w:hAnsiTheme="minorBidi" w:cstheme="minorBidi"/>
          <w:sz w:val="24"/>
          <w:szCs w:val="24"/>
          <w:rtl/>
        </w:rPr>
        <w:tab/>
      </w:r>
      <w:r w:rsidRPr="00B54FE2">
        <w:rPr>
          <w:rFonts w:asciiTheme="minorBidi" w:hAnsiTheme="minorBidi" w:cstheme="minorBidi"/>
          <w:sz w:val="24"/>
          <w:szCs w:val="24"/>
          <w:rtl/>
        </w:rPr>
        <w:tab/>
      </w:r>
    </w:p>
    <w:p w:rsidR="00B54FE2" w:rsidRPr="00B54FE2" w:rsidRDefault="00B54FE2" w:rsidP="00B54FE2">
      <w:pPr>
        <w:ind w:left="29" w:firstLine="691"/>
        <w:jc w:val="both"/>
        <w:rPr>
          <w:rFonts w:asciiTheme="minorBidi" w:hAnsiTheme="minorBidi" w:cstheme="minorBidi"/>
          <w:sz w:val="24"/>
          <w:szCs w:val="24"/>
          <w:rtl/>
        </w:rPr>
      </w:pPr>
      <w:r w:rsidRPr="00B54FE2">
        <w:rPr>
          <w:rFonts w:asciiTheme="minorBidi" w:hAnsiTheme="minorBidi" w:cstheme="minorBidi"/>
          <w:sz w:val="24"/>
          <w:szCs w:val="24"/>
          <w:rtl/>
        </w:rPr>
        <w:t xml:space="preserve">7-3: الاستثناءات على منع إفشاء السر المهني. </w:t>
      </w:r>
    </w:p>
    <w:p w:rsidR="00B54FE2" w:rsidRPr="00B54FE2" w:rsidRDefault="00B54FE2" w:rsidP="00B54FE2">
      <w:pPr>
        <w:ind w:left="29"/>
        <w:jc w:val="both"/>
        <w:rPr>
          <w:rFonts w:asciiTheme="minorBidi" w:hAnsiTheme="minorBidi" w:cstheme="minorBidi"/>
          <w:sz w:val="24"/>
          <w:szCs w:val="24"/>
          <w:rtl/>
        </w:rPr>
      </w:pPr>
    </w:p>
    <w:p w:rsidR="00B54FE2" w:rsidRPr="00B54FE2" w:rsidRDefault="00B54FE2" w:rsidP="00B54FE2">
      <w:pPr>
        <w:rPr>
          <w:rFonts w:asciiTheme="minorBidi" w:hAnsiTheme="minorBidi" w:cstheme="minorBidi"/>
          <w:sz w:val="24"/>
          <w:szCs w:val="24"/>
        </w:rPr>
      </w:pPr>
      <w:r>
        <w:rPr>
          <w:rFonts w:asciiTheme="minorBidi" w:hAnsiTheme="minorBidi" w:cstheme="minorBidi" w:hint="cs"/>
          <w:sz w:val="24"/>
          <w:szCs w:val="24"/>
          <w:rtl/>
        </w:rPr>
        <w:tab/>
      </w:r>
      <w:r>
        <w:rPr>
          <w:rFonts w:asciiTheme="minorBidi" w:hAnsiTheme="minorBidi" w:cstheme="minorBidi" w:hint="cs"/>
          <w:sz w:val="24"/>
          <w:szCs w:val="24"/>
          <w:rtl/>
        </w:rPr>
        <w:tab/>
      </w:r>
      <w:r>
        <w:rPr>
          <w:rFonts w:asciiTheme="minorBidi" w:hAnsiTheme="minorBidi" w:cstheme="minorBidi" w:hint="cs"/>
          <w:sz w:val="24"/>
          <w:szCs w:val="24"/>
          <w:rtl/>
        </w:rPr>
        <w:tab/>
      </w:r>
      <w:r>
        <w:rPr>
          <w:rFonts w:asciiTheme="minorBidi" w:hAnsiTheme="minorBidi" w:cstheme="minorBidi" w:hint="cs"/>
          <w:sz w:val="24"/>
          <w:szCs w:val="24"/>
          <w:rtl/>
        </w:rPr>
        <w:tab/>
        <w:t>************************************************************</w:t>
      </w:r>
    </w:p>
    <w:sectPr w:rsidR="00B54FE2" w:rsidRPr="00B54FE2" w:rsidSect="00A7601E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Monotype Koufi">
    <w:altName w:val="Times New Roman"/>
    <w:charset w:val="B2"/>
    <w:family w:val="auto"/>
    <w:pitch w:val="variable"/>
    <w:sig w:usb0="02942001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A6DB5"/>
    <w:multiLevelType w:val="hybridMultilevel"/>
    <w:tmpl w:val="589E3612"/>
    <w:lvl w:ilvl="0" w:tplc="DC58DC06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1EE24B1"/>
    <w:multiLevelType w:val="hybridMultilevel"/>
    <w:tmpl w:val="75628D42"/>
    <w:lvl w:ilvl="0" w:tplc="C03C6EC2">
      <w:start w:val="8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B2357E"/>
    <w:multiLevelType w:val="hybridMultilevel"/>
    <w:tmpl w:val="5BC8A13C"/>
    <w:lvl w:ilvl="0" w:tplc="80A24312">
      <w:start w:val="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1693F"/>
    <w:rsid w:val="000E0FAF"/>
    <w:rsid w:val="002144E8"/>
    <w:rsid w:val="00234400"/>
    <w:rsid w:val="002B45EA"/>
    <w:rsid w:val="002F5F72"/>
    <w:rsid w:val="00315027"/>
    <w:rsid w:val="00347AD5"/>
    <w:rsid w:val="005045D6"/>
    <w:rsid w:val="00565049"/>
    <w:rsid w:val="00575DA2"/>
    <w:rsid w:val="00661A45"/>
    <w:rsid w:val="007925F5"/>
    <w:rsid w:val="007C3E72"/>
    <w:rsid w:val="007E139E"/>
    <w:rsid w:val="00801AB1"/>
    <w:rsid w:val="008C3B78"/>
    <w:rsid w:val="009871EF"/>
    <w:rsid w:val="009A5542"/>
    <w:rsid w:val="009D799B"/>
    <w:rsid w:val="00A21AB2"/>
    <w:rsid w:val="00A7601E"/>
    <w:rsid w:val="00AD2C5E"/>
    <w:rsid w:val="00B0561E"/>
    <w:rsid w:val="00B54FE2"/>
    <w:rsid w:val="00BC4E6C"/>
    <w:rsid w:val="00C14FCC"/>
    <w:rsid w:val="00C1693F"/>
    <w:rsid w:val="00CA693D"/>
    <w:rsid w:val="00CB565E"/>
    <w:rsid w:val="00D86215"/>
    <w:rsid w:val="00D8638A"/>
    <w:rsid w:val="00DB06AB"/>
    <w:rsid w:val="00E5455A"/>
    <w:rsid w:val="00F42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93F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  <w:lang w:bidi="ar-LB"/>
    </w:rPr>
  </w:style>
  <w:style w:type="paragraph" w:styleId="Heading1">
    <w:name w:val="heading 1"/>
    <w:basedOn w:val="Normal"/>
    <w:next w:val="Normal"/>
    <w:link w:val="Heading1Char"/>
    <w:qFormat/>
    <w:rsid w:val="00C1693F"/>
    <w:pPr>
      <w:keepNext/>
      <w:pBdr>
        <w:bottom w:val="double" w:sz="6" w:space="1" w:color="auto"/>
      </w:pBdr>
      <w:shd w:val="pct20" w:color="auto" w:fill="auto"/>
      <w:bidi w:val="0"/>
      <w:spacing w:before="40" w:after="600"/>
      <w:jc w:val="right"/>
      <w:outlineLvl w:val="0"/>
    </w:pPr>
    <w:rPr>
      <w:rFonts w:ascii="Arial Rounded MT Bold" w:hAnsi="Arial Rounded MT Bold" w:cs="Times New Roman"/>
      <w:b/>
      <w:bCs/>
      <w:caps/>
      <w:noProof w:val="0"/>
      <w:sz w:val="36"/>
      <w:szCs w:val="43"/>
      <w:lang w:val="fr-FR"/>
    </w:rPr>
  </w:style>
  <w:style w:type="paragraph" w:styleId="Heading2">
    <w:name w:val="heading 2"/>
    <w:basedOn w:val="Normal"/>
    <w:next w:val="Normal"/>
    <w:link w:val="Heading2Char"/>
    <w:unhideWhenUsed/>
    <w:qFormat/>
    <w:rsid w:val="00C1693F"/>
    <w:pPr>
      <w:keepNext/>
      <w:bidi w:val="0"/>
      <w:spacing w:before="240"/>
      <w:outlineLvl w:val="1"/>
    </w:pPr>
    <w:rPr>
      <w:rFonts w:ascii="Arial Rounded MT Bold" w:hAnsi="Arial Rounded MT Bold" w:cs="Times New Roman"/>
      <w:b/>
      <w:bCs/>
      <w:caps/>
      <w:noProof w:val="0"/>
      <w:sz w:val="28"/>
      <w:szCs w:val="33"/>
      <w:lang w:val="fr-FR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C1693F"/>
    <w:pPr>
      <w:keepNext/>
      <w:bidi w:val="0"/>
      <w:spacing w:before="120" w:after="60"/>
      <w:ind w:left="426" w:hanging="426"/>
      <w:jc w:val="lowKashida"/>
      <w:outlineLvl w:val="3"/>
    </w:pPr>
    <w:rPr>
      <w:rFonts w:ascii="Arial" w:hAnsi="Arial" w:cs="Times New Roman"/>
      <w:b/>
      <w:bCs/>
      <w:noProof w:val="0"/>
      <w:sz w:val="26"/>
      <w:szCs w:val="26"/>
      <w:lang w:val="fr-FR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C1693F"/>
    <w:pPr>
      <w:spacing w:before="120"/>
      <w:ind w:left="703" w:right="703"/>
      <w:outlineLvl w:val="7"/>
    </w:pPr>
    <w:rPr>
      <w:rFonts w:ascii="Arial" w:hAnsi="Arial" w:cs="Mudir MT"/>
      <w:noProof w:val="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693F"/>
    <w:rPr>
      <w:rFonts w:ascii="Arial Rounded MT Bold" w:eastAsia="Times New Roman" w:hAnsi="Arial Rounded MT Bold" w:cs="Times New Roman"/>
      <w:b/>
      <w:bCs/>
      <w:caps/>
      <w:sz w:val="36"/>
      <w:szCs w:val="43"/>
      <w:shd w:val="pct20" w:color="auto" w:fill="auto"/>
      <w:lang w:val="fr-FR" w:bidi="ar-LB"/>
    </w:rPr>
  </w:style>
  <w:style w:type="character" w:customStyle="1" w:styleId="Heading2Char">
    <w:name w:val="Heading 2 Char"/>
    <w:basedOn w:val="DefaultParagraphFont"/>
    <w:link w:val="Heading2"/>
    <w:semiHidden/>
    <w:rsid w:val="00C1693F"/>
    <w:rPr>
      <w:rFonts w:ascii="Arial Rounded MT Bold" w:eastAsia="Times New Roman" w:hAnsi="Arial Rounded MT Bold" w:cs="Times New Roman"/>
      <w:b/>
      <w:bCs/>
      <w:caps/>
      <w:sz w:val="28"/>
      <w:szCs w:val="33"/>
      <w:lang w:val="fr-FR" w:bidi="ar-LB"/>
    </w:rPr>
  </w:style>
  <w:style w:type="character" w:customStyle="1" w:styleId="Heading4Char">
    <w:name w:val="Heading 4 Char"/>
    <w:basedOn w:val="DefaultParagraphFont"/>
    <w:link w:val="Heading4"/>
    <w:semiHidden/>
    <w:rsid w:val="00C1693F"/>
    <w:rPr>
      <w:rFonts w:ascii="Arial" w:eastAsia="Times New Roman" w:hAnsi="Arial" w:cs="Times New Roman"/>
      <w:b/>
      <w:bCs/>
      <w:sz w:val="26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semiHidden/>
    <w:rsid w:val="00C1693F"/>
    <w:rPr>
      <w:rFonts w:ascii="Arial" w:eastAsia="Times New Roman" w:hAnsi="Arial" w:cs="Mudir MT"/>
      <w:sz w:val="20"/>
      <w:szCs w:val="20"/>
      <w:lang w:val="fr-FR" w:bidi="ar-LB"/>
    </w:rPr>
  </w:style>
  <w:style w:type="paragraph" w:styleId="Title">
    <w:name w:val="Title"/>
    <w:basedOn w:val="Normal"/>
    <w:link w:val="TitleChar"/>
    <w:qFormat/>
    <w:rsid w:val="00C1693F"/>
    <w:pPr>
      <w:bidi w:val="0"/>
      <w:spacing w:before="240" w:after="60"/>
      <w:jc w:val="center"/>
    </w:pPr>
    <w:rPr>
      <w:rFonts w:ascii="Arial Rounded MT Bold" w:hAnsi="Arial Rounded MT Bold" w:cs="Times New Roman"/>
      <w:b/>
      <w:bCs/>
      <w:caps/>
      <w:noProof w:val="0"/>
      <w:sz w:val="28"/>
      <w:szCs w:val="31"/>
      <w:lang w:val="fr-FR"/>
    </w:rPr>
  </w:style>
  <w:style w:type="character" w:customStyle="1" w:styleId="TitleChar">
    <w:name w:val="Title Char"/>
    <w:basedOn w:val="DefaultParagraphFont"/>
    <w:link w:val="Title"/>
    <w:rsid w:val="00C1693F"/>
    <w:rPr>
      <w:rFonts w:ascii="Arial Rounded MT Bold" w:eastAsia="Times New Roman" w:hAnsi="Arial Rounded MT Bold" w:cs="Times New Roman"/>
      <w:b/>
      <w:bCs/>
      <w:caps/>
      <w:sz w:val="28"/>
      <w:szCs w:val="31"/>
      <w:lang w:val="fr-FR" w:bidi="ar-LB"/>
    </w:rPr>
  </w:style>
  <w:style w:type="paragraph" w:styleId="BodyTextIndent">
    <w:name w:val="Body Text Indent"/>
    <w:basedOn w:val="Normal"/>
    <w:link w:val="BodyTextIndentChar"/>
    <w:semiHidden/>
    <w:unhideWhenUsed/>
    <w:rsid w:val="00C1693F"/>
    <w:pPr>
      <w:bidi w:val="0"/>
      <w:ind w:left="284" w:hanging="284"/>
      <w:jc w:val="lowKashida"/>
    </w:pPr>
    <w:rPr>
      <w:rFonts w:ascii="Arial" w:hAnsi="Arial" w:cs="Times New Roman"/>
      <w:noProof w:val="0"/>
      <w:sz w:val="22"/>
      <w:lang w:val="fr-FR"/>
    </w:rPr>
  </w:style>
  <w:style w:type="character" w:customStyle="1" w:styleId="BodyTextIndentChar">
    <w:name w:val="Body Text Indent Char"/>
    <w:basedOn w:val="DefaultParagraphFont"/>
    <w:link w:val="BodyTextIndent"/>
    <w:semiHidden/>
    <w:rsid w:val="00C1693F"/>
    <w:rPr>
      <w:rFonts w:ascii="Arial" w:eastAsia="Times New Roman" w:hAnsi="Arial" w:cs="Times New Roman"/>
      <w:szCs w:val="20"/>
      <w:lang w:val="fr-FR" w:bidi="ar-LB"/>
    </w:rPr>
  </w:style>
  <w:style w:type="paragraph" w:customStyle="1" w:styleId="Heading10">
    <w:name w:val="Heading 10"/>
    <w:basedOn w:val="Heading8"/>
    <w:rsid w:val="00C1693F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C1693F"/>
    <w:pPr>
      <w:snapToGrid w:val="0"/>
    </w:pPr>
    <w:rPr>
      <w:rFonts w:cs="Monotype Koufi"/>
      <w:noProof w:val="0"/>
      <w:szCs w:val="36"/>
    </w:rPr>
  </w:style>
  <w:style w:type="paragraph" w:styleId="ListParagraph">
    <w:name w:val="List Paragraph"/>
    <w:basedOn w:val="Normal"/>
    <w:uiPriority w:val="34"/>
    <w:qFormat/>
    <w:rsid w:val="00A7601E"/>
    <w:pPr>
      <w:ind w:left="720"/>
      <w:contextualSpacing/>
    </w:pPr>
    <w:rPr>
      <w:rFonts w:cs="Times New Roman"/>
      <w:noProof w:val="0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6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2016-04-03T16:45:00Z</dcterms:created>
  <dcterms:modified xsi:type="dcterms:W3CDTF">2020-09-02T17:51:00Z</dcterms:modified>
</cp:coreProperties>
</file>